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D1" w:rsidRDefault="008A52D1" w:rsidP="00111A4A">
      <w:pPr>
        <w:pStyle w:val="BodyText"/>
        <w:jc w:val="center"/>
        <w:rPr>
          <w:sz w:val="56"/>
          <w:szCs w:val="56"/>
          <w:rtl/>
          <w:lang w:val="en-GB" w:bidi="ar-JO"/>
        </w:rPr>
      </w:pPr>
      <w:r>
        <w:rPr>
          <w:sz w:val="56"/>
          <w:szCs w:val="56"/>
          <w:rtl/>
          <w:lang w:val="en-GB" w:bidi="ar-JO"/>
        </w:rPr>
        <w:t>اعلان</w:t>
      </w:r>
    </w:p>
    <w:p w:rsidR="008A52D1" w:rsidRDefault="008A52D1" w:rsidP="004F11F9">
      <w:pPr>
        <w:pStyle w:val="BodyText"/>
        <w:rPr>
          <w:sz w:val="56"/>
          <w:szCs w:val="56"/>
          <w:rtl/>
          <w:lang w:val="en-GB" w:bidi="ar-JO"/>
        </w:rPr>
      </w:pPr>
      <w:r>
        <w:rPr>
          <w:sz w:val="56"/>
          <w:szCs w:val="56"/>
          <w:rtl/>
          <w:lang w:val="en-GB" w:bidi="ar-JO"/>
        </w:rPr>
        <w:t xml:space="preserve">اولا: اسف لعدم حضور محاضرة يوم الاحد </w:t>
      </w:r>
      <w:r>
        <w:rPr>
          <w:sz w:val="56"/>
          <w:szCs w:val="56"/>
          <w:lang w:val="en-GB" w:bidi="ar-JO"/>
        </w:rPr>
        <w:t>8-9</w:t>
      </w:r>
      <w:r>
        <w:rPr>
          <w:sz w:val="56"/>
          <w:szCs w:val="56"/>
          <w:rtl/>
          <w:lang w:val="en-GB" w:bidi="ar-JO"/>
        </w:rPr>
        <w:t xml:space="preserve"> صباحا وذلك بسب تعطل سيارتي. على كل حال </w:t>
      </w:r>
    </w:p>
    <w:p w:rsidR="008A52D1" w:rsidRDefault="008A52D1" w:rsidP="004F11F9">
      <w:pPr>
        <w:pStyle w:val="BodyText"/>
        <w:rPr>
          <w:sz w:val="56"/>
          <w:szCs w:val="56"/>
          <w:rtl/>
          <w:lang w:val="en-GB" w:bidi="ar-JO"/>
        </w:rPr>
      </w:pPr>
    </w:p>
    <w:p w:rsidR="008A52D1" w:rsidRDefault="008A52D1" w:rsidP="004F11F9">
      <w:pPr>
        <w:pStyle w:val="BodyText"/>
        <w:rPr>
          <w:sz w:val="56"/>
          <w:szCs w:val="56"/>
          <w:rtl/>
          <w:lang w:val="en-GB" w:bidi="ar-JO"/>
        </w:rPr>
      </w:pPr>
      <w:r>
        <w:rPr>
          <w:sz w:val="56"/>
          <w:szCs w:val="56"/>
          <w:rtl/>
          <w:lang w:val="en-GB" w:bidi="ar-JO"/>
        </w:rPr>
        <w:t>المادة الداخلة في الامتحان النهائي :</w:t>
      </w:r>
    </w:p>
    <w:p w:rsidR="008A52D1" w:rsidRPr="00902592" w:rsidRDefault="008A52D1" w:rsidP="004F11F9">
      <w:pPr>
        <w:pStyle w:val="BodyText"/>
        <w:jc w:val="right"/>
        <w:rPr>
          <w:i/>
          <w:iCs/>
          <w:sz w:val="56"/>
          <w:szCs w:val="56"/>
          <w:lang w:val="en-GB" w:bidi="ar-JO"/>
        </w:rPr>
      </w:pPr>
      <w:r w:rsidRPr="00902592">
        <w:rPr>
          <w:i/>
          <w:iCs/>
          <w:sz w:val="56"/>
          <w:szCs w:val="56"/>
          <w:highlight w:val="yellow"/>
          <w:lang w:val="en-GB" w:bidi="ar-JO"/>
        </w:rPr>
        <w:t>Chapter 14</w:t>
      </w:r>
      <w:r w:rsidRPr="00902592">
        <w:rPr>
          <w:i/>
          <w:iCs/>
          <w:sz w:val="56"/>
          <w:szCs w:val="56"/>
          <w:lang w:val="en-GB" w:bidi="ar-JO"/>
        </w:rPr>
        <w:t>: Bonds</w:t>
      </w:r>
    </w:p>
    <w:p w:rsidR="008A52D1" w:rsidRPr="00902592" w:rsidRDefault="008A52D1" w:rsidP="004F11F9">
      <w:pPr>
        <w:pStyle w:val="BodyText"/>
        <w:jc w:val="right"/>
        <w:rPr>
          <w:i/>
          <w:iCs/>
          <w:sz w:val="56"/>
          <w:szCs w:val="56"/>
          <w:lang w:val="en-GB" w:bidi="ar-JO"/>
        </w:rPr>
      </w:pPr>
      <w:r w:rsidRPr="00902592">
        <w:rPr>
          <w:i/>
          <w:iCs/>
          <w:sz w:val="56"/>
          <w:szCs w:val="56"/>
          <w:highlight w:val="yellow"/>
          <w:lang w:val="en-GB" w:bidi="ar-JO"/>
        </w:rPr>
        <w:t>Chapter 15</w:t>
      </w:r>
      <w:r w:rsidRPr="00902592">
        <w:rPr>
          <w:i/>
          <w:iCs/>
          <w:sz w:val="56"/>
          <w:szCs w:val="56"/>
          <w:lang w:val="en-GB" w:bidi="ar-JO"/>
        </w:rPr>
        <w:t xml:space="preserve">: shares </w:t>
      </w:r>
    </w:p>
    <w:p w:rsidR="008A52D1" w:rsidRPr="00902592" w:rsidRDefault="008A52D1" w:rsidP="004F11F9">
      <w:pPr>
        <w:pStyle w:val="BodyText"/>
        <w:jc w:val="right"/>
        <w:rPr>
          <w:i/>
          <w:iCs/>
          <w:sz w:val="56"/>
          <w:szCs w:val="56"/>
          <w:lang w:val="en-GB" w:bidi="ar-JO"/>
        </w:rPr>
      </w:pPr>
      <w:r w:rsidRPr="00902592">
        <w:rPr>
          <w:i/>
          <w:iCs/>
          <w:sz w:val="56"/>
          <w:szCs w:val="56"/>
          <w:highlight w:val="yellow"/>
          <w:lang w:val="en-GB" w:bidi="ar-JO"/>
        </w:rPr>
        <w:t>Chapter 16</w:t>
      </w:r>
      <w:r w:rsidRPr="00902592">
        <w:rPr>
          <w:i/>
          <w:iCs/>
          <w:sz w:val="56"/>
          <w:szCs w:val="56"/>
          <w:lang w:val="en-GB" w:bidi="ar-JO"/>
        </w:rPr>
        <w:t>: EPS</w:t>
      </w:r>
    </w:p>
    <w:p w:rsidR="008A52D1" w:rsidRPr="00902592" w:rsidRDefault="008A52D1" w:rsidP="004F11F9">
      <w:pPr>
        <w:pStyle w:val="BodyText"/>
        <w:jc w:val="right"/>
        <w:rPr>
          <w:i/>
          <w:iCs/>
          <w:sz w:val="56"/>
          <w:szCs w:val="56"/>
          <w:lang w:val="en-GB" w:bidi="ar-JO"/>
        </w:rPr>
      </w:pPr>
      <w:r w:rsidRPr="00902592">
        <w:rPr>
          <w:i/>
          <w:iCs/>
          <w:sz w:val="56"/>
          <w:szCs w:val="56"/>
          <w:highlight w:val="yellow"/>
          <w:lang w:val="en-GB" w:bidi="ar-JO"/>
        </w:rPr>
        <w:t>Chapter 17</w:t>
      </w:r>
      <w:r w:rsidRPr="00902592">
        <w:rPr>
          <w:i/>
          <w:iCs/>
          <w:sz w:val="56"/>
          <w:szCs w:val="56"/>
          <w:lang w:val="en-GB" w:bidi="ar-JO"/>
        </w:rPr>
        <w:t>: Equity investments</w:t>
      </w:r>
    </w:p>
    <w:p w:rsidR="008A52D1" w:rsidRDefault="008A52D1" w:rsidP="004F11F9">
      <w:pPr>
        <w:pStyle w:val="BodyText"/>
        <w:jc w:val="right"/>
        <w:rPr>
          <w:sz w:val="56"/>
          <w:szCs w:val="56"/>
          <w:lang w:val="en-GB" w:bidi="ar-JO"/>
        </w:rPr>
      </w:pPr>
    </w:p>
    <w:p w:rsidR="008A52D1" w:rsidRDefault="008A52D1" w:rsidP="007E3CC5">
      <w:pPr>
        <w:pStyle w:val="BodyText"/>
        <w:bidi w:val="0"/>
        <w:jc w:val="right"/>
        <w:rPr>
          <w:sz w:val="56"/>
          <w:szCs w:val="56"/>
          <w:rtl/>
          <w:lang w:val="en-GB" w:bidi="ar-JO"/>
        </w:rPr>
      </w:pPr>
      <w:r>
        <w:rPr>
          <w:sz w:val="56"/>
          <w:szCs w:val="56"/>
          <w:rtl/>
          <w:lang w:val="en-GB" w:bidi="ar-JO"/>
        </w:rPr>
        <w:t>مرفق (سؤال محلول)  على</w:t>
      </w:r>
    </w:p>
    <w:p w:rsidR="008A52D1" w:rsidRDefault="008A52D1" w:rsidP="007E3CC5">
      <w:pPr>
        <w:pStyle w:val="BodyText"/>
        <w:bidi w:val="0"/>
        <w:jc w:val="right"/>
        <w:rPr>
          <w:sz w:val="56"/>
          <w:szCs w:val="56"/>
          <w:lang w:val="en-GB" w:bidi="ar-JO"/>
        </w:rPr>
      </w:pPr>
      <w:r>
        <w:rPr>
          <w:sz w:val="56"/>
          <w:szCs w:val="56"/>
          <w:lang w:val="en-GB" w:bidi="ar-JO"/>
        </w:rPr>
        <w:t>Chapter 17</w:t>
      </w:r>
    </w:p>
    <w:p w:rsidR="008A52D1" w:rsidRDefault="008A52D1" w:rsidP="007E3CC5">
      <w:pPr>
        <w:pStyle w:val="BodyText"/>
        <w:bidi w:val="0"/>
        <w:jc w:val="right"/>
        <w:rPr>
          <w:sz w:val="56"/>
          <w:szCs w:val="56"/>
          <w:lang w:val="en-GB" w:bidi="ar-JO"/>
        </w:rPr>
      </w:pPr>
    </w:p>
    <w:p w:rsidR="008A52D1" w:rsidRDefault="008A52D1" w:rsidP="007E3CC5">
      <w:pPr>
        <w:pStyle w:val="BodyText"/>
        <w:bidi w:val="0"/>
        <w:rPr>
          <w:sz w:val="40"/>
          <w:szCs w:val="40"/>
          <w:rtl/>
        </w:rPr>
      </w:pPr>
    </w:p>
    <w:p w:rsidR="008A52D1" w:rsidRDefault="008A52D1" w:rsidP="007E7535">
      <w:pPr>
        <w:pStyle w:val="BodyText"/>
        <w:bidi w:val="0"/>
        <w:rPr>
          <w:sz w:val="40"/>
          <w:szCs w:val="40"/>
          <w:rtl/>
        </w:rPr>
      </w:pPr>
    </w:p>
    <w:p w:rsidR="008A52D1" w:rsidRDefault="008A52D1" w:rsidP="007E7535">
      <w:pPr>
        <w:pStyle w:val="BodyText"/>
        <w:bidi w:val="0"/>
        <w:rPr>
          <w:sz w:val="40"/>
          <w:szCs w:val="40"/>
          <w:rtl/>
        </w:rPr>
      </w:pPr>
    </w:p>
    <w:p w:rsidR="008A52D1" w:rsidRDefault="008A52D1" w:rsidP="007E7535">
      <w:pPr>
        <w:pStyle w:val="BodyText"/>
        <w:bidi w:val="0"/>
        <w:rPr>
          <w:sz w:val="40"/>
          <w:szCs w:val="40"/>
          <w:rtl/>
        </w:rPr>
      </w:pPr>
    </w:p>
    <w:p w:rsidR="008A52D1" w:rsidRDefault="008A52D1" w:rsidP="007E7535">
      <w:pPr>
        <w:pStyle w:val="BodyText"/>
        <w:bidi w:val="0"/>
        <w:rPr>
          <w:sz w:val="40"/>
          <w:szCs w:val="40"/>
          <w:rtl/>
        </w:rPr>
      </w:pPr>
    </w:p>
    <w:p w:rsidR="008A52D1" w:rsidRDefault="008A52D1" w:rsidP="007E7535">
      <w:pPr>
        <w:pStyle w:val="BodyText"/>
        <w:bidi w:val="0"/>
        <w:rPr>
          <w:sz w:val="40"/>
          <w:szCs w:val="40"/>
          <w:rtl/>
        </w:rPr>
      </w:pPr>
    </w:p>
    <w:p w:rsidR="008A52D1" w:rsidRDefault="008A52D1" w:rsidP="007E7535">
      <w:pPr>
        <w:pStyle w:val="BodyText"/>
        <w:bidi w:val="0"/>
        <w:rPr>
          <w:sz w:val="40"/>
          <w:szCs w:val="40"/>
          <w:rtl/>
        </w:rPr>
      </w:pPr>
    </w:p>
    <w:p w:rsidR="008A52D1" w:rsidRDefault="008A52D1" w:rsidP="007E7535">
      <w:pPr>
        <w:pStyle w:val="BodyText"/>
        <w:bidi w:val="0"/>
        <w:rPr>
          <w:sz w:val="40"/>
          <w:szCs w:val="40"/>
          <w:rtl/>
        </w:rPr>
      </w:pPr>
    </w:p>
    <w:p w:rsidR="008A52D1" w:rsidRDefault="008A52D1" w:rsidP="007E7535">
      <w:pPr>
        <w:pStyle w:val="BodyText"/>
        <w:bidi w:val="0"/>
        <w:rPr>
          <w:sz w:val="40"/>
          <w:szCs w:val="40"/>
          <w:rtl/>
        </w:rPr>
      </w:pPr>
    </w:p>
    <w:p w:rsidR="008A52D1" w:rsidRPr="007E7535" w:rsidRDefault="008A52D1" w:rsidP="001C5FFC">
      <w:pPr>
        <w:pStyle w:val="BodyText"/>
        <w:bidi w:val="0"/>
        <w:rPr>
          <w:rFonts w:ascii="Tahoma" w:hAnsi="Tahoma" w:cs="Tahoma"/>
          <w:sz w:val="22"/>
          <w:szCs w:val="22"/>
        </w:rPr>
      </w:pPr>
      <w:r w:rsidRPr="007E7535">
        <w:rPr>
          <w:rFonts w:ascii="Tahoma" w:hAnsi="Tahoma" w:cs="Tahoma"/>
          <w:sz w:val="22"/>
          <w:szCs w:val="22"/>
        </w:rPr>
        <w:t>Korman Company has the following securities in its portfolio of trading equity investments on December 31, 2010:</w:t>
      </w:r>
    </w:p>
    <w:p w:rsidR="008A52D1" w:rsidRPr="007E7535" w:rsidRDefault="008A52D1" w:rsidP="007E7535">
      <w:pPr>
        <w:tabs>
          <w:tab w:val="left" w:pos="6300"/>
          <w:tab w:val="right" w:pos="7200"/>
          <w:tab w:val="left" w:pos="8100"/>
          <w:tab w:val="right" w:pos="9000"/>
        </w:tabs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single"/>
        </w:rPr>
        <w:t xml:space="preserve">   Cost</w:t>
      </w:r>
      <w:r w:rsidRPr="007E7535">
        <w:rPr>
          <w:rFonts w:ascii="Tahoma" w:hAnsi="Tahoma" w:cs="Tahoma"/>
          <w:snapToGrid w:val="0"/>
          <w:u w:val="single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single"/>
        </w:rPr>
        <w:t xml:space="preserve">Fair </w:t>
      </w:r>
      <w:r>
        <w:rPr>
          <w:rFonts w:ascii="Tahoma" w:hAnsi="Tahoma" w:cs="Tahoma"/>
          <w:snapToGrid w:val="0"/>
          <w:u w:val="single"/>
        </w:rPr>
        <w:t>v</w:t>
      </w:r>
      <w:r w:rsidRPr="007E7535">
        <w:rPr>
          <w:rFonts w:ascii="Tahoma" w:hAnsi="Tahoma" w:cs="Tahoma"/>
          <w:snapToGrid w:val="0"/>
          <w:u w:val="single"/>
        </w:rPr>
        <w:t>alue</w:t>
      </w:r>
    </w:p>
    <w:p w:rsidR="008A52D1" w:rsidRPr="007E7535" w:rsidRDefault="008A52D1" w:rsidP="007E3CC5">
      <w:pPr>
        <w:tabs>
          <w:tab w:val="right" w:pos="7200"/>
          <w:tab w:val="right" w:pos="9000"/>
        </w:tabs>
        <w:spacing w:after="0"/>
        <w:ind w:left="357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5,000 ordinary shares of Thomas Corp.</w:t>
      </w:r>
      <w:r w:rsidRPr="007E7535">
        <w:rPr>
          <w:rFonts w:ascii="Tahoma" w:hAnsi="Tahoma" w:cs="Tahoma"/>
          <w:snapToGrid w:val="0"/>
        </w:rPr>
        <w:tab/>
        <w:t>$155,000</w:t>
      </w:r>
      <w:r w:rsidRPr="007E7535">
        <w:rPr>
          <w:rFonts w:ascii="Tahoma" w:hAnsi="Tahoma" w:cs="Tahoma"/>
          <w:snapToGrid w:val="0"/>
        </w:rPr>
        <w:tab/>
        <w:t>$139,000</w:t>
      </w:r>
    </w:p>
    <w:p w:rsidR="008A52D1" w:rsidRPr="007E7535" w:rsidRDefault="008A52D1" w:rsidP="007E3CC5">
      <w:pPr>
        <w:tabs>
          <w:tab w:val="right" w:pos="7200"/>
          <w:tab w:val="right" w:pos="9000"/>
        </w:tabs>
        <w:spacing w:after="0"/>
        <w:ind w:left="357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10,000 ordinary shares of Gant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single"/>
        </w:rPr>
        <w:t xml:space="preserve">  182,000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single"/>
        </w:rPr>
        <w:t xml:space="preserve">  190,000</w:t>
      </w:r>
    </w:p>
    <w:p w:rsidR="008A52D1" w:rsidRPr="007E7535" w:rsidRDefault="008A52D1" w:rsidP="001C5FFC">
      <w:pPr>
        <w:tabs>
          <w:tab w:val="right" w:pos="7200"/>
          <w:tab w:val="right" w:pos="9000"/>
        </w:tabs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double"/>
        </w:rPr>
        <w:t>$337,000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double"/>
        </w:rPr>
        <w:t>$329,000</w:t>
      </w:r>
    </w:p>
    <w:p w:rsidR="008A52D1" w:rsidRPr="007E7535" w:rsidRDefault="008A52D1" w:rsidP="001C5FFC">
      <w:pPr>
        <w:pStyle w:val="BodyText"/>
        <w:bidi w:val="0"/>
        <w:rPr>
          <w:rFonts w:ascii="Tahoma" w:hAnsi="Tahoma" w:cs="Tahoma"/>
          <w:sz w:val="22"/>
          <w:szCs w:val="22"/>
        </w:rPr>
      </w:pPr>
      <w:r w:rsidRPr="007E7535">
        <w:rPr>
          <w:rFonts w:ascii="Tahoma" w:hAnsi="Tahoma" w:cs="Tahoma"/>
          <w:sz w:val="22"/>
          <w:szCs w:val="22"/>
        </w:rPr>
        <w:t>All of the investments had been purchased in 2010. In 2011, Korman completed the following investments transactions:</w:t>
      </w:r>
    </w:p>
    <w:p w:rsidR="008A52D1" w:rsidRPr="007E7535" w:rsidRDefault="008A52D1" w:rsidP="007E3CC5">
      <w:pPr>
        <w:tabs>
          <w:tab w:val="left" w:pos="1440"/>
        </w:tabs>
        <w:spacing w:before="120" w:after="0"/>
        <w:ind w:left="360"/>
        <w:jc w:val="both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March 1</w:t>
      </w:r>
      <w:r w:rsidRPr="007E7535">
        <w:rPr>
          <w:rFonts w:ascii="Tahoma" w:hAnsi="Tahoma" w:cs="Tahoma"/>
          <w:snapToGrid w:val="0"/>
        </w:rPr>
        <w:tab/>
        <w:t>Sold 5,000 ordinary shares of Thomas Corp., at $30.</w:t>
      </w:r>
    </w:p>
    <w:p w:rsidR="008A52D1" w:rsidRPr="007E7535" w:rsidRDefault="008A52D1" w:rsidP="007E3CC5">
      <w:pPr>
        <w:tabs>
          <w:tab w:val="left" w:pos="1440"/>
        </w:tabs>
        <w:spacing w:after="0"/>
        <w:ind w:left="936" w:hanging="576"/>
        <w:jc w:val="both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April 1</w:t>
      </w:r>
      <w:r w:rsidRPr="007E7535">
        <w:rPr>
          <w:rFonts w:ascii="Tahoma" w:hAnsi="Tahoma" w:cs="Tahoma"/>
          <w:snapToGrid w:val="0"/>
        </w:rPr>
        <w:tab/>
        <w:t>Bought 600 ordinary shares of Werth Stores, at $45.</w:t>
      </w:r>
    </w:p>
    <w:p w:rsidR="008A52D1" w:rsidRPr="007E7535" w:rsidRDefault="008A52D1" w:rsidP="001C5FFC">
      <w:pPr>
        <w:pStyle w:val="BodyText"/>
        <w:bidi w:val="0"/>
        <w:spacing w:before="120"/>
        <w:rPr>
          <w:rFonts w:ascii="Tahoma" w:hAnsi="Tahoma" w:cs="Tahoma"/>
          <w:b/>
          <w:bCs/>
          <w:sz w:val="22"/>
          <w:szCs w:val="22"/>
        </w:rPr>
      </w:pPr>
      <w:r w:rsidRPr="007E7535">
        <w:rPr>
          <w:rFonts w:ascii="Tahoma" w:hAnsi="Tahoma" w:cs="Tahoma"/>
          <w:sz w:val="22"/>
          <w:szCs w:val="22"/>
        </w:rPr>
        <w:t>The Korman Company portfolio of trading equity investments appeared as follows on December 31, 2011:</w:t>
      </w:r>
    </w:p>
    <w:p w:rsidR="008A52D1" w:rsidRPr="007E7535" w:rsidRDefault="008A52D1" w:rsidP="001C5FFC">
      <w:pPr>
        <w:tabs>
          <w:tab w:val="left" w:pos="6300"/>
          <w:tab w:val="right" w:pos="7200"/>
          <w:tab w:val="left" w:pos="8100"/>
          <w:tab w:val="right" w:pos="9000"/>
        </w:tabs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single"/>
        </w:rPr>
        <w:t xml:space="preserve">   Cost</w:t>
      </w:r>
      <w:r w:rsidRPr="007E7535">
        <w:rPr>
          <w:rFonts w:ascii="Tahoma" w:hAnsi="Tahoma" w:cs="Tahoma"/>
          <w:snapToGrid w:val="0"/>
          <w:u w:val="single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single"/>
        </w:rPr>
        <w:t>Fair Value</w:t>
      </w:r>
    </w:p>
    <w:p w:rsidR="008A52D1" w:rsidRPr="007E7535" w:rsidRDefault="008A52D1" w:rsidP="007E3CC5">
      <w:pPr>
        <w:tabs>
          <w:tab w:val="right" w:pos="7200"/>
          <w:tab w:val="right" w:pos="9000"/>
        </w:tabs>
        <w:spacing w:after="0"/>
        <w:ind w:left="360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10,000 ordinary shares of Gant</w:t>
      </w:r>
      <w:r w:rsidRPr="007E7535">
        <w:rPr>
          <w:rFonts w:ascii="Tahoma" w:hAnsi="Tahoma" w:cs="Tahoma"/>
          <w:snapToGrid w:val="0"/>
        </w:rPr>
        <w:tab/>
        <w:t>$182,000</w:t>
      </w:r>
      <w:r w:rsidRPr="007E7535">
        <w:rPr>
          <w:rFonts w:ascii="Tahoma" w:hAnsi="Tahoma" w:cs="Tahoma"/>
          <w:snapToGrid w:val="0"/>
        </w:rPr>
        <w:tab/>
        <w:t>$195,500</w:t>
      </w:r>
    </w:p>
    <w:p w:rsidR="008A52D1" w:rsidRPr="007E7535" w:rsidRDefault="008A52D1" w:rsidP="007E3CC5">
      <w:pPr>
        <w:tabs>
          <w:tab w:val="right" w:pos="7200"/>
          <w:tab w:val="right" w:pos="9000"/>
        </w:tabs>
        <w:spacing w:after="0"/>
        <w:ind w:left="360"/>
        <w:rPr>
          <w:rFonts w:ascii="Tahoma" w:hAnsi="Tahoma" w:cs="Tahoma"/>
          <w:snapToGrid w:val="0"/>
          <w:u w:val="single"/>
        </w:rPr>
      </w:pPr>
      <w:r w:rsidRPr="007E7535">
        <w:rPr>
          <w:rFonts w:ascii="Tahoma" w:hAnsi="Tahoma" w:cs="Tahoma"/>
          <w:snapToGrid w:val="0"/>
        </w:rPr>
        <w:t>600 ordinary shares of Werth Stores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single"/>
        </w:rPr>
        <w:t xml:space="preserve">    27,000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single"/>
        </w:rPr>
        <w:t xml:space="preserve">    25,500</w:t>
      </w:r>
    </w:p>
    <w:p w:rsidR="008A52D1" w:rsidRPr="007E7535" w:rsidRDefault="008A52D1" w:rsidP="007E3CC5">
      <w:pPr>
        <w:tabs>
          <w:tab w:val="right" w:pos="7200"/>
          <w:tab w:val="right" w:pos="9000"/>
        </w:tabs>
        <w:spacing w:after="0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double"/>
        </w:rPr>
        <w:t>$209,000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  <w:u w:val="double"/>
        </w:rPr>
        <w:t>$221,000</w:t>
      </w:r>
    </w:p>
    <w:p w:rsidR="008A52D1" w:rsidRPr="007E7535" w:rsidRDefault="008A52D1" w:rsidP="001C5FFC">
      <w:pPr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b/>
          <w:snapToGrid w:val="0"/>
        </w:rPr>
        <w:t>Instructions</w:t>
      </w:r>
    </w:p>
    <w:p w:rsidR="008A52D1" w:rsidRPr="007E7535" w:rsidRDefault="008A52D1" w:rsidP="001C5FFC">
      <w:pPr>
        <w:rPr>
          <w:rFonts w:ascii="Tahoma" w:hAnsi="Tahoma" w:cs="Tahoma"/>
        </w:rPr>
      </w:pPr>
      <w:r w:rsidRPr="007E7535">
        <w:rPr>
          <w:rFonts w:ascii="Tahoma" w:hAnsi="Tahoma" w:cs="Tahoma"/>
        </w:rPr>
        <w:t>Prepare the general journal entries for Korman Company for:</w:t>
      </w:r>
    </w:p>
    <w:p w:rsidR="008A52D1" w:rsidRPr="007E7535" w:rsidRDefault="008A52D1" w:rsidP="007E3CC5">
      <w:pPr>
        <w:spacing w:after="0"/>
        <w:ind w:left="544" w:hanging="544"/>
        <w:jc w:val="both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(a)</w:t>
      </w:r>
      <w:r w:rsidRPr="007E7535">
        <w:rPr>
          <w:rFonts w:ascii="Tahoma" w:hAnsi="Tahoma" w:cs="Tahoma"/>
          <w:snapToGrid w:val="0"/>
        </w:rPr>
        <w:tab/>
        <w:t>The Dec 31, 2010 adjusting entry.</w:t>
      </w:r>
    </w:p>
    <w:p w:rsidR="008A52D1" w:rsidRPr="007E7535" w:rsidRDefault="008A52D1" w:rsidP="007E3CC5">
      <w:pPr>
        <w:spacing w:after="0"/>
        <w:ind w:left="544" w:hanging="544"/>
        <w:jc w:val="both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(b)</w:t>
      </w:r>
      <w:r w:rsidRPr="007E7535">
        <w:rPr>
          <w:rFonts w:ascii="Tahoma" w:hAnsi="Tahoma" w:cs="Tahoma"/>
          <w:snapToGrid w:val="0"/>
        </w:rPr>
        <w:tab/>
        <w:t>The sale of the Thomas Corp. shares on March 1, 2011.</w:t>
      </w:r>
    </w:p>
    <w:p w:rsidR="008A52D1" w:rsidRPr="007E7535" w:rsidRDefault="008A52D1" w:rsidP="007E3CC5">
      <w:pPr>
        <w:spacing w:after="0"/>
        <w:ind w:left="544" w:hanging="544"/>
        <w:jc w:val="both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(c)</w:t>
      </w:r>
      <w:r w:rsidRPr="007E7535">
        <w:rPr>
          <w:rFonts w:ascii="Tahoma" w:hAnsi="Tahoma" w:cs="Tahoma"/>
          <w:snapToGrid w:val="0"/>
        </w:rPr>
        <w:tab/>
        <w:t>The purchase of the Werth Stores' shares on April 1, 2011.</w:t>
      </w:r>
    </w:p>
    <w:p w:rsidR="008A52D1" w:rsidRPr="007E7535" w:rsidRDefault="008A52D1" w:rsidP="007E3CC5">
      <w:pPr>
        <w:spacing w:after="0"/>
        <w:ind w:left="544" w:hanging="544"/>
        <w:jc w:val="both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(d)</w:t>
      </w:r>
      <w:r w:rsidRPr="007E7535">
        <w:rPr>
          <w:rFonts w:ascii="Tahoma" w:hAnsi="Tahoma" w:cs="Tahoma"/>
          <w:snapToGrid w:val="0"/>
        </w:rPr>
        <w:tab/>
        <w:t>The Dec 31, 2011 adjusting entry.</w:t>
      </w:r>
    </w:p>
    <w:p w:rsidR="008A52D1" w:rsidRPr="007E7535" w:rsidRDefault="008A52D1" w:rsidP="001C5FFC">
      <w:pPr>
        <w:tabs>
          <w:tab w:val="left" w:pos="360"/>
        </w:tabs>
        <w:rPr>
          <w:rFonts w:ascii="Tahoma" w:hAnsi="Tahoma" w:cs="Tahoma"/>
          <w:snapToGrid w:val="0"/>
        </w:rPr>
      </w:pPr>
    </w:p>
    <w:p w:rsidR="008A52D1" w:rsidRPr="007E7535" w:rsidRDefault="008A52D1" w:rsidP="001C5FFC">
      <w:pPr>
        <w:pStyle w:val="Heading5"/>
        <w:tabs>
          <w:tab w:val="left" w:pos="360"/>
        </w:tabs>
        <w:bidi w:val="0"/>
        <w:rPr>
          <w:rFonts w:ascii="Tahoma" w:hAnsi="Tahoma" w:cs="Tahoma"/>
          <w:sz w:val="22"/>
          <w:szCs w:val="22"/>
        </w:rPr>
      </w:pPr>
      <w:r w:rsidRPr="007E7535">
        <w:rPr>
          <w:rFonts w:ascii="Tahoma" w:hAnsi="Tahoma" w:cs="Tahoma"/>
          <w:sz w:val="22"/>
          <w:szCs w:val="22"/>
        </w:rPr>
        <w:t xml:space="preserve">Solution </w:t>
      </w:r>
      <w:r>
        <w:rPr>
          <w:rFonts w:ascii="Tahoma" w:hAnsi="Tahoma" w:cs="Tahoma"/>
          <w:sz w:val="22"/>
          <w:szCs w:val="22"/>
          <w:rtl/>
        </w:rPr>
        <w:t xml:space="preserve"> الحل</w:t>
      </w:r>
    </w:p>
    <w:p w:rsidR="008A52D1" w:rsidRPr="007E7535" w:rsidRDefault="008A52D1" w:rsidP="001C5FFC">
      <w:pPr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(a)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12-31-10</w:t>
      </w:r>
    </w:p>
    <w:p w:rsidR="008A52D1" w:rsidRPr="007E7535" w:rsidRDefault="008A52D1" w:rsidP="00902592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spacing w:after="0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  <w:t>Unrealized Holding Gain or Loss—Income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8,000</w:t>
      </w:r>
    </w:p>
    <w:p w:rsidR="008A52D1" w:rsidRPr="007E7535" w:rsidRDefault="008A52D1" w:rsidP="00902592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spacing w:after="0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Securities Fair Value Adjustment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8,000</w:t>
      </w:r>
    </w:p>
    <w:p w:rsidR="008A52D1" w:rsidRPr="007E7535" w:rsidRDefault="008A52D1" w:rsidP="001C5FFC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($337,000 – $329,000)</w:t>
      </w:r>
    </w:p>
    <w:p w:rsidR="008A52D1" w:rsidRPr="007E7535" w:rsidRDefault="008A52D1" w:rsidP="001C5FFC">
      <w:pPr>
        <w:tabs>
          <w:tab w:val="left" w:pos="540"/>
          <w:tab w:val="left" w:pos="1260"/>
          <w:tab w:val="left" w:pos="4320"/>
          <w:tab w:val="right" w:leader="dot" w:pos="6840"/>
          <w:tab w:val="right" w:pos="7920"/>
          <w:tab w:val="right" w:pos="9180"/>
        </w:tabs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(b)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 xml:space="preserve">  3-1-11</w:t>
      </w:r>
    </w:p>
    <w:p w:rsidR="008A52D1" w:rsidRPr="007E7535" w:rsidRDefault="008A52D1" w:rsidP="00902592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spacing w:after="0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  <w:t xml:space="preserve">Cash [(5,000 ´ $30) 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150,000</w:t>
      </w:r>
    </w:p>
    <w:p w:rsidR="008A52D1" w:rsidRPr="007E7535" w:rsidRDefault="008A52D1" w:rsidP="00902592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spacing w:after="0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  <w:t xml:space="preserve">Loss on </w:t>
      </w:r>
      <w:smartTag w:uri="urn:schemas-microsoft-com:office:smarttags" w:element="place">
        <w:smartTag w:uri="urn:schemas-microsoft-com:office:smarttags" w:element="City">
          <w:r w:rsidRPr="007E7535">
            <w:rPr>
              <w:rFonts w:ascii="Tahoma" w:hAnsi="Tahoma" w:cs="Tahoma"/>
              <w:snapToGrid w:val="0"/>
            </w:rPr>
            <w:t>Sale</w:t>
          </w:r>
        </w:smartTag>
      </w:smartTag>
      <w:r w:rsidRPr="007E7535">
        <w:rPr>
          <w:rFonts w:ascii="Tahoma" w:hAnsi="Tahoma" w:cs="Tahoma"/>
          <w:snapToGrid w:val="0"/>
        </w:rPr>
        <w:t xml:space="preserve"> of Equity Investment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5,000</w:t>
      </w:r>
    </w:p>
    <w:p w:rsidR="008A52D1" w:rsidRPr="007E7535" w:rsidRDefault="008A52D1" w:rsidP="00902592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spacing w:after="0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Equity Investment</w:t>
      </w:r>
      <w:r w:rsidRPr="007E7535">
        <w:rPr>
          <w:rFonts w:ascii="Tahoma" w:hAnsi="Tahoma" w:cs="Tahoma"/>
          <w:snapToGrid w:val="0"/>
        </w:rPr>
        <w:tab/>
        <w:t xml:space="preserve">………………..                  </w:t>
      </w:r>
      <w:r w:rsidRPr="007E7535">
        <w:rPr>
          <w:rFonts w:ascii="Tahoma" w:hAnsi="Tahoma" w:cs="Tahoma"/>
          <w:snapToGrid w:val="0"/>
        </w:rPr>
        <w:tab/>
        <w:t>155,000</w:t>
      </w:r>
    </w:p>
    <w:p w:rsidR="008A52D1" w:rsidRPr="007E7535" w:rsidRDefault="008A52D1" w:rsidP="001C5FFC">
      <w:pPr>
        <w:tabs>
          <w:tab w:val="left" w:pos="540"/>
          <w:tab w:val="left" w:pos="1260"/>
          <w:tab w:val="left" w:pos="4320"/>
          <w:tab w:val="right" w:leader="dot" w:pos="6840"/>
          <w:tab w:val="right" w:pos="7920"/>
          <w:tab w:val="right" w:pos="9180"/>
        </w:tabs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(c)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 xml:space="preserve">  4-1-11</w:t>
      </w:r>
    </w:p>
    <w:p w:rsidR="008A52D1" w:rsidRPr="007E7535" w:rsidRDefault="008A52D1" w:rsidP="00902592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spacing w:after="0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  <w:t>Equity Investment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27,00</w:t>
      </w:r>
    </w:p>
    <w:p w:rsidR="008A52D1" w:rsidRPr="007E7535" w:rsidRDefault="008A52D1" w:rsidP="00902592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spacing w:after="0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 xml:space="preserve">Cash [(600 ´ $45) 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27,000</w:t>
      </w:r>
    </w:p>
    <w:p w:rsidR="008A52D1" w:rsidRPr="007E7535" w:rsidRDefault="008A52D1" w:rsidP="001C5FFC">
      <w:pPr>
        <w:tabs>
          <w:tab w:val="left" w:pos="540"/>
          <w:tab w:val="left" w:pos="1260"/>
          <w:tab w:val="left" w:pos="4320"/>
          <w:tab w:val="right" w:leader="dot" w:pos="6840"/>
          <w:tab w:val="right" w:pos="7920"/>
          <w:tab w:val="right" w:pos="9180"/>
        </w:tabs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>(d)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12-31-11</w:t>
      </w:r>
    </w:p>
    <w:p w:rsidR="008A52D1" w:rsidRPr="007E7535" w:rsidRDefault="008A52D1" w:rsidP="00902592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spacing w:after="0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  <w:t>Securities Fair Value Adjustment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20,000</w:t>
      </w:r>
    </w:p>
    <w:p w:rsidR="008A52D1" w:rsidRPr="007E7535" w:rsidRDefault="008A52D1" w:rsidP="00902592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spacing w:after="0"/>
        <w:rPr>
          <w:rFonts w:ascii="Tahoma" w:hAnsi="Tahoma" w:cs="Tahoma"/>
          <w:snapToGrid w:val="0"/>
        </w:rPr>
      </w:pP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Unrealized Holding Gain or Loss—Income</w:t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</w:r>
      <w:r w:rsidRPr="007E7535">
        <w:rPr>
          <w:rFonts w:ascii="Tahoma" w:hAnsi="Tahoma" w:cs="Tahoma"/>
          <w:snapToGrid w:val="0"/>
        </w:rPr>
        <w:tab/>
        <w:t>20,000</w:t>
      </w:r>
    </w:p>
    <w:p w:rsidR="008A52D1" w:rsidRPr="007E7535" w:rsidRDefault="008A52D1" w:rsidP="001C5FFC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rPr>
          <w:rFonts w:ascii="Tahoma" w:hAnsi="Tahoma" w:cs="Tahoma"/>
          <w:snapToGrid w:val="0"/>
        </w:rPr>
      </w:pPr>
    </w:p>
    <w:p w:rsidR="008A52D1" w:rsidRPr="007E7535" w:rsidRDefault="008A52D1" w:rsidP="001C5FFC">
      <w:pPr>
        <w:tabs>
          <w:tab w:val="left" w:pos="540"/>
          <w:tab w:val="left" w:pos="1260"/>
          <w:tab w:val="left" w:pos="1440"/>
          <w:tab w:val="right" w:leader="dot" w:pos="6840"/>
          <w:tab w:val="right" w:pos="7920"/>
          <w:tab w:val="right" w:pos="9180"/>
        </w:tabs>
        <w:rPr>
          <w:snapToGrid w:val="0"/>
        </w:rPr>
      </w:pPr>
    </w:p>
    <w:p w:rsidR="008A52D1" w:rsidRPr="007E7535" w:rsidRDefault="008A52D1" w:rsidP="001C5FFC">
      <w:pPr>
        <w:pStyle w:val="BodyText"/>
        <w:bidi w:val="0"/>
        <w:spacing w:after="0"/>
        <w:jc w:val="lowKashida"/>
        <w:rPr>
          <w:sz w:val="22"/>
          <w:szCs w:val="22"/>
        </w:rPr>
      </w:pPr>
    </w:p>
    <w:p w:rsidR="008A52D1" w:rsidRPr="001C5FFC" w:rsidRDefault="008A52D1">
      <w:pPr>
        <w:rPr>
          <w:lang w:val="en-US"/>
        </w:rPr>
      </w:pPr>
    </w:p>
    <w:sectPr w:rsidR="008A52D1" w:rsidRPr="001C5FFC" w:rsidSect="007E75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5FFC"/>
    <w:rsid w:val="000A3F14"/>
    <w:rsid w:val="00111A4A"/>
    <w:rsid w:val="001C5FFC"/>
    <w:rsid w:val="002450F1"/>
    <w:rsid w:val="00314EDE"/>
    <w:rsid w:val="004F11F9"/>
    <w:rsid w:val="005B110E"/>
    <w:rsid w:val="007E3CC5"/>
    <w:rsid w:val="007E7535"/>
    <w:rsid w:val="008A52D1"/>
    <w:rsid w:val="0090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DE"/>
    <w:pPr>
      <w:spacing w:after="200" w:line="276" w:lineRule="auto"/>
    </w:pPr>
    <w:rPr>
      <w:lang w:val="en-GB" w:eastAsia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C5FFC"/>
    <w:pPr>
      <w:bidi/>
      <w:spacing w:before="240" w:after="60" w:line="240" w:lineRule="auto"/>
      <w:outlineLvl w:val="4"/>
    </w:pPr>
    <w:rPr>
      <w:rFonts w:ascii="Times New Roman" w:hAnsi="Times New Roman" w:cs="Times New Roman"/>
      <w:b/>
      <w:bCs/>
      <w:i/>
      <w:i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C5FFC"/>
    <w:rPr>
      <w:rFonts w:ascii="Times New Roman" w:hAnsi="Times New Roman" w:cs="Times New Roman"/>
      <w:b/>
      <w:bCs/>
      <w:i/>
      <w:i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1C5FFC"/>
    <w:pPr>
      <w:bidi/>
      <w:spacing w:after="120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5FFC"/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7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260</TotalTime>
  <Pages>2</Pages>
  <Words>260</Words>
  <Characters>1484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2012-05-13T07:22:00Z</dcterms:created>
  <dcterms:modified xsi:type="dcterms:W3CDTF">2012-05-15T21:41:00Z</dcterms:modified>
</cp:coreProperties>
</file>